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marketing and sales operations by managing workflow automation and A/B testing campaigns, achieving a 300% increase in customer acquisition through rigorous performance analysis and funnel conversion optimization.</w:t>
        <w:br/>
      </w:r>
    </w:p>
    <w:p>
      <w:r>
        <w:rPr>
          <w:rFonts w:ascii="Times New Roman" w:hAnsi="Times New Roman"/>
          <w:sz w:val="20"/>
        </w:rPr>
        <w:br/>
        <w:t>• Streamlined CRM engagement workflows by designing complex enrollment logic and branching paths, ensuring data integrity and consistent deliverability across customer segments.</w:t>
        <w:br/>
      </w:r>
    </w:p>
    <w:p>
      <w:r>
        <w:rPr>
          <w:rFonts w:ascii="Times New Roman" w:hAnsi="Times New Roman"/>
          <w:sz w:val="20"/>
        </w:rPr>
        <w:br/>
        <w:t>• Conducted comprehensive audits of marketing content templates and outreach sequences, ensuring strict adherence to compliance standards and annual branding updates while monitoring delivery and logging metrics.</w:t>
        <w:br/>
      </w:r>
    </w:p>
    <w:p>
      <w:r>
        <w:rPr>
          <w:rFonts w:ascii="Times New Roman" w:hAnsi="Times New Roman"/>
          <w:sz w:val="20"/>
        </w:rPr>
        <w:br/>
        <w:t>• Designed and maintained executive-level dashboards to track engagement, conversion, and task completion metrics, providing actionable insights to cross-functional stakeholders to drive process improvement.</w:t>
        <w:br/>
      </w:r>
    </w:p>
    <w:p>
      <w:r>
        <w:rPr>
          <w:rFonts w:ascii="Times New Roman" w:hAnsi="Times New Roman"/>
          <w:sz w:val="20"/>
        </w:rPr>
        <w:br/>
        <w:t>• Mentored junior team members on data storytelling and SQL best practices, fostering a collaborative environment and improving the team's overall analytical output and documentation consistency.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