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full-stack features using React and TypeScript, ensuring UI responsiveness and seamless integration with backend Node.js APIs.</w:t>
        <w:br/>
      </w:r>
    </w:p>
    <w:p>
      <w:r>
        <w:rPr>
          <w:rFonts w:ascii="Times New Roman" w:hAnsi="Times New Roman"/>
          <w:sz w:val="20"/>
        </w:rPr>
        <w:br/>
        <w:t>• Architected and deployed production-grade applications with a focus on scalability, utilizing automated testing frameworks and CI/CD pipelines to ensure reliability.</w:t>
        <w:br/>
      </w:r>
    </w:p>
    <w:p>
      <w:r>
        <w:rPr>
          <w:rFonts w:ascii="Times New Roman" w:hAnsi="Times New Roman"/>
          <w:sz w:val="20"/>
        </w:rPr>
        <w:br/>
        <w:t>• Engineered robust Node.js backend services to handle complex data transformation, reducing system latency and enhancing API response times for customer-facing dashboards.</w:t>
        <w:br/>
      </w:r>
    </w:p>
    <w:p>
      <w:r>
        <w:rPr>
          <w:rFonts w:ascii="Times New Roman" w:hAnsi="Times New Roman"/>
          <w:sz w:val="20"/>
        </w:rPr>
        <w:br/>
        <w:t>• Optimized deployment workflows by implementing automated testing suites (pytest/Jest) that minimized production bugs and streamlined feature delivery cycles.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build scalable software architecture, balancing rapid feature development with long-term system stability and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