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web analytics reporting initiatives, leveraging proficiency in platforms like Google Analytics and familiarity with Adobe Analytics/Tag Manager to translate raw data into actionable UX insights.</w:t>
        <w:br/>
      </w:r>
    </w:p>
    <w:p>
      <w:r>
        <w:rPr>
          <w:rFonts w:ascii="Times New Roman" w:hAnsi="Times New Roman"/>
          <w:sz w:val="20"/>
        </w:rPr>
        <w:br/>
        <w:t>• Managed the end-to-end UAT and quality assurance (QA) lifecycle for reporting dashboards, collaborating with agency partners to ensure rigorous data integrity and 3rd-party tagging compliance.</w:t>
        <w:br/>
      </w:r>
    </w:p>
    <w:p>
      <w:r>
        <w:rPr>
          <w:rFonts w:ascii="Times New Roman" w:hAnsi="Times New Roman"/>
          <w:sz w:val="20"/>
        </w:rPr>
        <w:br/>
        <w:t>• Facilitated Monthly and Quarterly Business Reviews (MBR/QBR) by synthesizing complex media campaign performance data into clear, strategic presentations for executive stakeholders.</w:t>
        <w:br/>
      </w:r>
    </w:p>
    <w:p>
      <w:r>
        <w:rPr>
          <w:rFonts w:ascii="Times New Roman" w:hAnsi="Times New Roman"/>
          <w:sz w:val="20"/>
        </w:rPr>
        <w:br/>
        <w:t>• Optimized cross-functional workflows by liaising with marketing and digital teams to implement tracking specifications, ensuring consistent data collection for media planning and buying initiatives.</w:t>
        <w:br/>
      </w:r>
    </w:p>
    <w:p>
      <w:r>
        <w:rPr>
          <w:rFonts w:ascii="Times New Roman" w:hAnsi="Times New Roman"/>
          <w:sz w:val="20"/>
        </w:rPr>
        <w:br/>
        <w:t>• Applied data-driven methodologies to support 'test and learn' programs, utilizing A/B testing and statistical analysis to inform website enhancements and content intelligence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