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and maintained complex Excel models using VBA and macros to automate financial data reconciliation, reducing manual error rates by 25%.</w:t>
        <w:br/>
      </w:r>
    </w:p>
    <w:p>
      <w:r>
        <w:rPr>
          <w:rFonts w:ascii="Times New Roman" w:hAnsi="Times New Roman"/>
          <w:sz w:val="20"/>
        </w:rPr>
        <w:br/>
        <w:t>• Leveraged Salesforce CRM to track client interactions and marketing campaigns, providing actionable data insights to bankers to improve service delivery and pipeline transparency.</w:t>
        <w:br/>
      </w:r>
    </w:p>
    <w:p>
      <w:r>
        <w:rPr>
          <w:rFonts w:ascii="Times New Roman" w:hAnsi="Times New Roman"/>
          <w:sz w:val="20"/>
        </w:rPr>
        <w:br/>
        <w:t>• Drafted and presented technical findings and data governance frameworks via professional PowerPoint presentations to senior stakeholders, facilitating cross-functional alignment on corporate banking initiatives.</w:t>
        <w:br/>
      </w:r>
    </w:p>
    <w:p>
      <w:r>
        <w:rPr>
          <w:rFonts w:ascii="Times New Roman" w:hAnsi="Times New Roman"/>
          <w:sz w:val="20"/>
        </w:rPr>
        <w:br/>
        <w:t>• Gained foundational exposure to capital markets data while at Haven Technologies, utilizing SQL to reconcile testing data and support internal workflows within a financial-adjacent environment.</w:t>
        <w:br/>
      </w:r>
    </w:p>
    <w:p>
      <w:r>
        <w:rPr>
          <w:rFonts w:ascii="Times New Roman" w:hAnsi="Times New Roman"/>
          <w:sz w:val="20"/>
        </w:rPr>
        <w:br/>
        <w:t>• Demonstrated commitment to data integrity and compliance by managing sensitive financial records with high attention to detail, consistently meeting urgent deadlines in fast-paced corporate environments.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