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Power BI and Looker workflows, including building interactive dashboards, to replace manual written reporting, reducing data mismatches and improving work efficiency by 40%.</w:t>
        <w:br/>
      </w:r>
    </w:p>
    <w:p>
      <w:r>
        <w:rPr>
          <w:rFonts w:ascii="Times New Roman" w:hAnsi="Times New Roman"/>
          <w:sz w:val="20"/>
        </w:rPr>
        <w:br/>
        <w:t>• Created automated executive summary decks (PowerPoint slides) by translating complex findings into business recommendations for stakeholders, ensuring consistent data interpretation and faster strategic decisions.</w:t>
        <w:br/>
      </w:r>
    </w:p>
    <w:p>
      <w:r>
        <w:rPr>
          <w:rFonts w:ascii="Times New Roman" w:hAnsi="Times New Roman"/>
          <w:sz w:val="20"/>
        </w:rPr>
        <w:br/>
        <w:t>• Validated data by comparing exports across multiple sources and standardizing organizational KPIs and data governance frameworks to ensure a consistent 'single source of truth' and reduce report discrepancies.</w:t>
        <w:br/>
      </w:r>
    </w:p>
    <w:p>
      <w:r>
        <w:rPr>
          <w:rFonts w:ascii="Times New Roman" w:hAnsi="Times New Roman"/>
          <w:sz w:val="20"/>
        </w:rPr>
        <w:br/>
        <w:t>• Built Python automation for weekly sales and operations reports, demonstrating the ability to learn quickly and apply new automation techniques to streamline processes and save significant time.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campaigns, showcasing critical thinking and problem-solving skills to measure audience response and provide statistical evidence for optimizing marketing spend.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