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managed analytics-ready tables using SQL, adopting dbt-like modular transformation patterns to ensure clean, maintainable, and well-documented data models for downstream BI consumption.</w:t>
        <w:br/>
      </w:r>
    </w:p>
    <w:p>
      <w:r>
        <w:rPr>
          <w:rFonts w:ascii="Times New Roman" w:hAnsi="Times New Roman"/>
          <w:sz w:val="20"/>
        </w:rPr>
        <w:br/>
        <w:t>• Engineered and maintained robust ETL pipelines to sync data from PostgreSQL and Salesforce CRM into a central data warehouse, ensuring seamless data integration and reliability.</w:t>
        <w:br/>
      </w:r>
    </w:p>
    <w:p>
      <w:r>
        <w:rPr>
          <w:rFonts w:ascii="Times New Roman" w:hAnsi="Times New Roman"/>
          <w:sz w:val="20"/>
        </w:rPr>
        <w:br/>
        <w:t>• Executed comprehensive data validation checks within Python and SQL scripts to maintain high data integrity, reducing error rates in downstream reporting by 30%.</w:t>
        <w:br/>
      </w:r>
    </w:p>
    <w:p>
      <w:r>
        <w:rPr>
          <w:rFonts w:ascii="Times New Roman" w:hAnsi="Times New Roman"/>
          <w:sz w:val="20"/>
        </w:rPr>
        <w:br/>
        <w:t>• Partnered with cross-functional stakeholders to deliver data storytelling presentations, translating complex technical insights into actionable business strategies for organizational growth.</w:t>
        <w:br/>
      </w:r>
    </w:p>
    <w:p>
      <w:r>
        <w:rPr>
          <w:rFonts w:ascii="Times New Roman" w:hAnsi="Times New Roman"/>
          <w:sz w:val="20"/>
        </w:rPr>
        <w:br/>
        <w:t>• Configured service accounts and managed security permissions for data warehouse access, ensuring secure and scalable connectivity between our data sources and BI reporting layers.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