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Serve as the primary liaison between the executive office and internal divisions, including HR and the Office of the CFO, ensuring seamless cross-departmental communication and alignment on corporate objectives.</w:t>
        <w:br/>
      </w:r>
    </w:p>
    <w:p>
      <w:r>
        <w:rPr>
          <w:rFonts w:ascii="Times New Roman" w:hAnsi="Times New Roman"/>
          <w:sz w:val="20"/>
        </w:rPr>
        <w:br/>
        <w:t>• Manage comprehensive records and office files for executive leadership, ensuring organizational integrity, confidentiality, and alignment with the institution’s mission and values.</w:t>
        <w:br/>
      </w:r>
    </w:p>
    <w:p>
      <w:r>
        <w:rPr>
          <w:rFonts w:ascii="Times New Roman" w:hAnsi="Times New Roman"/>
          <w:sz w:val="20"/>
        </w:rPr>
        <w:br/>
        <w:t>• Proactively coordinate with internal stakeholders and external clergy/partners to facilitate operational continuity, demonstrating a professional demeanor that reflects the organizational mission.</w:t>
        <w:br/>
      </w:r>
    </w:p>
    <w:p>
      <w:r>
        <w:rPr>
          <w:rFonts w:ascii="Times New Roman" w:hAnsi="Times New Roman"/>
          <w:sz w:val="20"/>
        </w:rPr>
        <w:br/>
        <w:t>• Leverage bilingual English/Spanish fluency to facilitate clear and inclusive communication with a diverse range of staff, stakeholders, and community members.</w:t>
        <w:br/>
      </w:r>
    </w:p>
    <w:p>
      <w:r>
        <w:rPr>
          <w:rFonts w:ascii="Times New Roman" w:hAnsi="Times New Roman"/>
          <w:sz w:val="20"/>
        </w:rPr>
        <w:br/>
        <w:t>• Collaborate with the HR department to streamline recruitment operations and facilitate inter-departmental projects, ensuring all administrative functions support the broader organizational structure.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