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reporting models using Power Query and Power Pivot to reconcile financial SKU data and POS data, ensuring high data integrity for executive decision-making.</w:t>
        <w:br/>
      </w:r>
    </w:p>
    <w:p>
      <w:r>
        <w:rPr>
          <w:rFonts w:ascii="Times New Roman" w:hAnsi="Times New Roman"/>
          <w:sz w:val="20"/>
        </w:rPr>
        <w:br/>
        <w:t>• Utilized advanced Excel techniques to perform pricing analysis and evaluate trade spend efficiency, identifying key drivers to improve overall net revenue and promotional ROI.</w:t>
        <w:br/>
      </w:r>
    </w:p>
    <w:p>
      <w:r>
        <w:rPr>
          <w:rFonts w:ascii="Times New Roman" w:hAnsi="Times New Roman"/>
          <w:sz w:val="20"/>
        </w:rPr>
        <w:br/>
        <w:t>• Collaborated with sales teams to integrate performance metrics into promotional planning workflows, ensuring all activity aligned with customer agreements and trade investment strategies.</w:t>
        <w:br/>
      </w:r>
    </w:p>
    <w:p>
      <w:r>
        <w:rPr>
          <w:rFonts w:ascii="Times New Roman" w:hAnsi="Times New Roman"/>
          <w:sz w:val="20"/>
        </w:rPr>
        <w:br/>
        <w:t>• Led exploratory data analysis on consumer segments to support trade promotion effectiveness, translating complex purchasing patterns into actionable recommendations for commercial stakeholders.</w:t>
        <w:br/>
      </w:r>
    </w:p>
    <w:p>
      <w:r>
        <w:rPr>
          <w:rFonts w:ascii="Times New Roman" w:hAnsi="Times New Roman"/>
          <w:sz w:val="20"/>
        </w:rPr>
        <w:br/>
        <w:t>• Automated data consolidation from multiple external sources and internal systems, replicating the logic of tools like Blue Planner to streamline performance tracking and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