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Server and relational database queries using T-SQL, CTEs, and window functions to reconcile complex testing data, improving data accuracy by 60% and supporting robust downstream analytics.</w:t>
        <w:br/>
      </w:r>
    </w:p>
    <w:p>
      <w:r>
        <w:rPr>
          <w:rFonts w:ascii="Times New Roman" w:hAnsi="Times New Roman"/>
          <w:sz w:val="20"/>
        </w:rPr>
        <w:br/>
        <w:t>• Engineered and automated enterprise-level Tableau dashboards to provide self-service reporting, ensuring seamless distribution of key metrics across cross-functional departments.</w:t>
        <w:br/>
      </w:r>
    </w:p>
    <w:p>
      <w:r>
        <w:rPr>
          <w:rFonts w:ascii="Times New Roman" w:hAnsi="Times New Roman"/>
          <w:sz w:val="20"/>
        </w:rPr>
        <w:br/>
        <w:t>• Gained foundational exposure to actuarial concepts by analyzing high-volume datasets to identify risk segments, demonstrating a strong aptitude for financial P&amp;L and loss ratio trend analysis.</w:t>
        <w:br/>
      </w:r>
    </w:p>
    <w:p>
      <w:r>
        <w:rPr>
          <w:rFonts w:ascii="Times New Roman" w:hAnsi="Times New Roman"/>
          <w:sz w:val="20"/>
        </w:rPr>
        <w:br/>
        <w:t>• Leveraged advanced ETL techniques in SQL and Python to integrate disparate datasets from production data warehouses, ensuring high data integrity for critical business reporting.</w:t>
        <w:br/>
      </w:r>
    </w:p>
    <w:p>
      <w:r>
        <w:rPr>
          <w:rFonts w:ascii="Times New Roman" w:hAnsi="Times New Roman"/>
          <w:sz w:val="20"/>
        </w:rPr>
        <w:br/>
        <w:t>• Applied rigorous analytical problem-solving to identify operational inefficiencies, directly supporting business strategy similar to the requirements of the P&amp;C insurance industry.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