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Spearheaded operational processes in a fast-paced, startup-style environment, demonstrating the agility and autonomy required to build functions from the ground up.</w:t>
        <w:br/>
      </w:r>
    </w:p>
    <w:p>
      <w:r>
        <w:rPr>
          <w:rFonts w:ascii="Times New Roman" w:hAnsi="Times New Roman"/>
          <w:sz w:val="20"/>
        </w:rPr>
        <w:br/>
        <w:t>• Proactively integrated AI-driven tools, such as Claude and ChatGPT, into daily executive workflows to streamline research, document drafting, and complex scheduling tasks.</w:t>
        <w:br/>
      </w:r>
    </w:p>
    <w:p>
      <w:r>
        <w:rPr>
          <w:rFonts w:ascii="Times New Roman" w:hAnsi="Times New Roman"/>
          <w:sz w:val="20"/>
        </w:rPr>
        <w:br/>
        <w:t>• Leveraged cross-functional communication and adaptability to support diverse, global teams, including coordinating logistics for international clients.</w:t>
        <w:br/>
      </w:r>
    </w:p>
    <w:p>
      <w:r>
        <w:rPr>
          <w:rFonts w:ascii="Times New Roman" w:hAnsi="Times New Roman"/>
          <w:sz w:val="20"/>
        </w:rPr>
        <w:br/>
        <w:t>• Managed executive operations within a high-growth environment, consistently scaling administrative workflows to meet the evolving needs of the leadership team.</w:t>
        <w:br/>
      </w:r>
    </w:p>
    <w:p>
      <w:r>
        <w:rPr>
          <w:rFonts w:ascii="Times New Roman" w:hAnsi="Times New Roman"/>
          <w:sz w:val="20"/>
        </w:rPr>
        <w:br/>
        <w:t>• Committed to in-office, full-time collaboration in New York City, ensuring seamless face-to-face support and real-time coordination for senior leadership.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