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Analyzed large-scale datasets to uncover population health trends, applying foundational concepts of observational study design and statistical control for bias to support evidence-based research initiatives.</w:t>
        <w:br/>
      </w:r>
    </w:p>
    <w:p>
      <w:r>
        <w:rPr>
          <w:rFonts w:ascii="Times New Roman" w:hAnsi="Times New Roman"/>
          <w:sz w:val="20"/>
        </w:rPr>
        <w:br/>
        <w:t>• Drafted technical literature reviews and summaries of real-world evidence analyses, translating complex quantitative data into accessible reports for stakeholders.</w:t>
        <w:br/>
      </w:r>
    </w:p>
    <w:p>
      <w:r>
        <w:rPr>
          <w:rFonts w:ascii="Times New Roman" w:hAnsi="Times New Roman"/>
          <w:sz w:val="20"/>
        </w:rPr>
        <w:br/>
        <w:t>• Collaborated with project leads on the development of research protocols, ensuring data programming methodologies aligned with rigorous quantitative standards for health research.</w:t>
        <w:br/>
      </w:r>
    </w:p>
    <w:p>
      <w:r>
        <w:rPr>
          <w:rFonts w:ascii="Times New Roman" w:hAnsi="Times New Roman"/>
          <w:sz w:val="20"/>
        </w:rPr>
        <w:br/>
        <w:t>• Developed interactive data visualization dashboards (Tableau/Power BI) to translate raw health metrics into real-world evidence summaries for clinical and business audiences.</w:t>
        <w:br/>
      </w:r>
    </w:p>
    <w:p>
      <w:r>
        <w:rPr>
          <w:rFonts w:ascii="Times New Roman" w:hAnsi="Times New Roman"/>
          <w:sz w:val="20"/>
        </w:rPr>
        <w:br/>
        <w:t>• Applied quantitative methods to evaluate public health patterns, identifying demographic and geographic clusters that inform policy-oriented decision-making.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