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Performed extensive data cleaning and exploratory data analysis using R and Python on complex datasets, applying principles of biostatistics to identify patterns and potential sources of bias.</w:t>
        <w:br/>
      </w:r>
    </w:p>
    <w:p>
      <w:r>
        <w:rPr>
          <w:rFonts w:ascii="Times New Roman" w:hAnsi="Times New Roman"/>
          <w:sz w:val="20"/>
        </w:rPr>
        <w:br/>
        <w:t>• Conducted literature reviews and synthesized complex health policy findings into actionable reports, bridging the gap between raw data and real-world evidence for stakeholders.</w:t>
        <w:br/>
      </w:r>
    </w:p>
    <w:p>
      <w:r>
        <w:rPr>
          <w:rFonts w:ascii="Times New Roman" w:hAnsi="Times New Roman"/>
          <w:sz w:val="20"/>
        </w:rPr>
        <w:br/>
        <w:t>• Designed and documented rigorous research protocols to support real-world evidence studies, ensuring high standards of data integrity and statistical accuracy.</w:t>
        <w:br/>
      </w:r>
    </w:p>
    <w:p>
      <w:r>
        <w:rPr>
          <w:rFonts w:ascii="Times New Roman" w:hAnsi="Times New Roman"/>
          <w:sz w:val="20"/>
        </w:rPr>
        <w:br/>
        <w:t>• Collaborated on cross-functional teams to translate quantitative research findings into interactive visualizations, supporting the development of peer-reviewed manuscripts and project presentations.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