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end-to-end list management and audience segmentation workflows for marketing campaigns, utilizing SQL and Python to ensure 100% data accuracy and compliance with internal governance rules.</w:t>
        <w:br/>
      </w:r>
    </w:p>
    <w:p>
      <w:r>
        <w:rPr>
          <w:rFonts w:ascii="Times New Roman" w:hAnsi="Times New Roman"/>
          <w:sz w:val="20"/>
        </w:rPr>
        <w:br/>
        <w:t>• Executed routine data QA and match-back exercises to reconcile marketing performance data with customer conversion outcomes, identifying anomalies and optimizing audience targeting strategies.</w:t>
        <w:br/>
      </w:r>
    </w:p>
    <w:p>
      <w:r>
        <w:rPr>
          <w:rFonts w:ascii="Times New Roman" w:hAnsi="Times New Roman"/>
          <w:sz w:val="20"/>
        </w:rPr>
        <w:br/>
        <w:t>• Maintained rigorous data governance standards by documenting audience segmentation logic, filters, and list production templates to improve cross-functional transparency and scalability.</w:t>
        <w:br/>
      </w:r>
    </w:p>
    <w:p>
      <w:r>
        <w:rPr>
          <w:rFonts w:ascii="Times New Roman" w:hAnsi="Times New Roman"/>
          <w:sz w:val="20"/>
        </w:rPr>
        <w:br/>
        <w:t>• Leveraged advanced Excel functions including nested IFs and Index/Match to perform rapid data cleaning and validation for large-scale marketing datasets, ensuring consistent reporting quality.</w:t>
        <w:br/>
      </w:r>
    </w:p>
    <w:p>
      <w:r>
        <w:rPr>
          <w:rFonts w:ascii="Times New Roman" w:hAnsi="Times New Roman"/>
          <w:sz w:val="20"/>
        </w:rPr>
        <w:br/>
        <w:t>• Collaborated with marketing stakeholders to refine audience requirements and troubleshoot list delivery issues, directly translating business needs into actionable data structures.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