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rigorous A/B testing and experimental protocols to evaluate digital marketing campaigns, applying scientific methodology to measure audience response and statistical lift.</w:t>
        <w:br/>
      </w:r>
    </w:p>
    <w:p>
      <w:r>
        <w:rPr>
          <w:rFonts w:ascii="Times New Roman" w:hAnsi="Times New Roman"/>
          <w:sz w:val="20"/>
        </w:rPr>
        <w:br/>
        <w:t>• Led quantitative research projects, including an NYPD arrest demographic study, by applying advanced research design and systematic data analysis to translate complex datasets into actionable public policy recommendations.</w:t>
        <w:br/>
      </w:r>
    </w:p>
    <w:p>
      <w:r>
        <w:rPr>
          <w:rFonts w:ascii="Times New Roman" w:hAnsi="Times New Roman"/>
          <w:sz w:val="20"/>
        </w:rPr>
        <w:br/>
        <w:t>• Applied statistical reasoning to identify high-value customer segments, ensuring ethically sourced data handling and objective-driven experimental design in all modeling workflows.</w:t>
        <w:br/>
      </w:r>
    </w:p>
    <w:p>
      <w:r>
        <w:rPr>
          <w:rFonts w:ascii="Times New Roman" w:hAnsi="Times New Roman"/>
          <w:sz w:val="20"/>
        </w:rPr>
        <w:br/>
        <w:t>• Developed robust data quality frameworks using Great Expectations to maintain scientific integrity and rigorous documentation standards, mirroring the precision required for AI model evaluation.</w:t>
        <w:br/>
      </w:r>
    </w:p>
    <w:p>
      <w:r>
        <w:rPr>
          <w:rFonts w:ascii="Times New Roman" w:hAnsi="Times New Roman"/>
          <w:sz w:val="20"/>
        </w:rPr>
        <w:br/>
        <w:t>• Translated complex technical findings from predictive models into clear, structured scientific writing for stakeholder reporting, ensuring high-level clarity and actionable insights.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