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clean and reconcile large-scale insurance and financial testing data, ensuring data integrity for GAAP-aligned management reporting.</w:t>
        <w:br/>
      </w:r>
    </w:p>
    <w:p>
      <w:r>
        <w:rPr>
          <w:rFonts w:ascii="Times New Roman" w:hAnsi="Times New Roman"/>
          <w:sz w:val="20"/>
        </w:rPr>
        <w:br/>
        <w:t>• Streamlined financial data workflows by automating manual reporting processes, achieving a 40% reduction in processing time and improving accuracy for investment-focused decision-making.</w:t>
        <w:br/>
      </w:r>
    </w:p>
    <w:p>
      <w:r>
        <w:rPr>
          <w:rFonts w:ascii="Times New Roman" w:hAnsi="Times New Roman"/>
          <w:sz w:val="20"/>
        </w:rPr>
        <w:br/>
        <w:t>• Led process redesign initiatives by documenting and optimizing operational workflows, which reduced onboarding time and standardized data-driven reporting practices across cross-functional teams.</w:t>
        <w:br/>
      </w:r>
    </w:p>
    <w:p>
      <w:r>
        <w:rPr>
          <w:rFonts w:ascii="Times New Roman" w:hAnsi="Times New Roman"/>
          <w:sz w:val="20"/>
        </w:rPr>
        <w:br/>
        <w:t>• Integrated multi-source financial data into unified cloud-based schemas (Snowflake/PostgreSQL), facilitating scalable analytics for capital management and liquidity monitoring.</w:t>
        <w:br/>
      </w:r>
    </w:p>
    <w:p>
      <w:r>
        <w:rPr>
          <w:rFonts w:ascii="Times New Roman" w:hAnsi="Times New Roman"/>
          <w:sz w:val="20"/>
        </w:rPr>
        <w:br/>
        <w:t>• Applied data modeling techniques to identify borrower delinquency risks, effectively translating complex financial metrics into actionable insights for strategic investment and portfolio planning.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