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finance teams to develop financial modeling workflows and budgeting templates in Excel, enabling more accurate forecasting of operational expenses and revenue trends.</w:t>
        <w:br/>
      </w:r>
    </w:p>
    <w:p>
      <w:r>
        <w:rPr>
          <w:rFonts w:ascii="Times New Roman" w:hAnsi="Times New Roman"/>
          <w:sz w:val="20"/>
        </w:rPr>
        <w:br/>
        <w:t>• Built automated data pipelines for loan exposure tracking, implementing data lineage protocols and validation checks to ensure high data quality and accuracy across all financial reporting.</w:t>
        <w:br/>
      </w:r>
    </w:p>
    <w:p>
      <w:r>
        <w:rPr>
          <w:rFonts w:ascii="Times New Roman" w:hAnsi="Times New Roman"/>
          <w:sz w:val="20"/>
        </w:rPr>
        <w:br/>
        <w:t>• Analyzed large-scale lending data to support liquidity and treasury risk assessments, translating complex dataset patterns into actionable insights for internal stakeholders.</w:t>
        <w:br/>
      </w:r>
    </w:p>
    <w:p>
      <w:r>
        <w:rPr>
          <w:rFonts w:ascii="Times New Roman" w:hAnsi="Times New Roman"/>
          <w:sz w:val="20"/>
        </w:rPr>
        <w:br/>
        <w:t>• Standardized documentation for financial process flows and data governance, ensuring consistent compliance with internal auditing requirements and organizational standards.</w:t>
        <w:br/>
      </w:r>
    </w:p>
    <w:p>
      <w:r>
        <w:rPr>
          <w:rFonts w:ascii="Times New Roman" w:hAnsi="Times New Roman"/>
          <w:sz w:val="20"/>
        </w:rPr>
        <w:br/>
        <w:t>• Integrated data from SQL-based loan databases with reporting tools to mirror functionality found in ERP systems, facilitating seamless performance tracking and capital management.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