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IT security teams to implement IAM (Identity and Access Management) protocols and user permission auditing, ensuring compliance with data governance standards.</w:t>
        <w:br/>
      </w:r>
    </w:p>
    <w:p>
      <w:r>
        <w:rPr>
          <w:rFonts w:ascii="Times New Roman" w:hAnsi="Times New Roman"/>
          <w:sz w:val="20"/>
        </w:rPr>
        <w:br/>
        <w:t>• Utilized system logging &amp; monitoring tools to track data pipeline performance and proactively identify bottlenecks, ensuring 99.9% reliability in reporting deliverables.</w:t>
        <w:br/>
      </w:r>
    </w:p>
    <w:p>
      <w:r>
        <w:rPr>
          <w:rFonts w:ascii="Times New Roman" w:hAnsi="Times New Roman"/>
          <w:sz w:val="20"/>
        </w:rPr>
        <w:br/>
        <w:t>• Integrated vulnerability remediation workflows into the development lifecycle, utilizing security scanning tools to identify and resolve potential risks in SQL and Python codebases.</w:t>
        <w:br/>
      </w:r>
    </w:p>
    <w:p>
      <w:r>
        <w:rPr>
          <w:rFonts w:ascii="Times New Roman" w:hAnsi="Times New Roman"/>
          <w:sz w:val="20"/>
        </w:rPr>
        <w:br/>
        <w:t>• Applied principles of the NIST CSF 2.0 framework to identify and protect sensitive client data within PostgreSQL databases, bolstering organizational security posture.</w:t>
        <w:br/>
      </w:r>
    </w:p>
    <w:p>
      <w:r>
        <w:rPr>
          <w:rFonts w:ascii="Times New Roman" w:hAnsi="Times New Roman"/>
          <w:sz w:val="20"/>
        </w:rPr>
        <w:br/>
        <w:t>• Leveraged advanced AI tools and machine learning techniques to automate exception reporting and anomaly detection, enhancing the speed of identifying business risks.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