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implemented robust data governance frameworks to ensure data quality and compliance, establishing a single source of truth for all business stakeholders.</w:t>
        <w:br/>
      </w:r>
    </w:p>
    <w:p>
      <w:r>
        <w:rPr>
          <w:rFonts w:ascii="Times New Roman" w:hAnsi="Times New Roman"/>
          <w:sz w:val="20"/>
        </w:rPr>
        <w:br/>
        <w:t>• Led model testing and validation efforts for automated Python reporting pipelines, incorporating rigorous data quality checks via Great Expectations to mitigate operational risk.</w:t>
        <w:br/>
      </w:r>
    </w:p>
    <w:p>
      <w:r>
        <w:rPr>
          <w:rFonts w:ascii="Times New Roman" w:hAnsi="Times New Roman"/>
          <w:sz w:val="20"/>
        </w:rPr>
        <w:br/>
        <w:t>• Analyzed complex datasets to identify high-value customer segments, providing the statistical rigor and model evaluation necessary to inform executive risk management and strategic marketing decisions.</w:t>
        <w:br/>
      </w:r>
    </w:p>
    <w:p>
      <w:r>
        <w:rPr>
          <w:rFonts w:ascii="Times New Roman" w:hAnsi="Times New Roman"/>
          <w:sz w:val="20"/>
        </w:rPr>
        <w:br/>
        <w:t>• Collaborated with cross-functional stakeholders to translate technical AI/ML output into actionable business recommendations, enhancing transparency in reporting and model deployment lifecycle.</w:t>
        <w:br/>
      </w:r>
    </w:p>
    <w:p>
      <w:r>
        <w:rPr>
          <w:rFonts w:ascii="Times New Roman" w:hAnsi="Times New Roman"/>
          <w:sz w:val="20"/>
        </w:rPr>
        <w:br/>
        <w:t>• Documented and refined internal controls for data pipelines to ensure alignment with organizational governance standards and regulatory compliance requirements.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