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and maintained scalable ETL/ELT pipelines within cloud data lakes, implementing strict data governance policies to ensure high-quality, compliant data distribution for downstream analytics.</w:t>
        <w:br/>
      </w:r>
    </w:p>
    <w:p>
      <w:r>
        <w:rPr>
          <w:rFonts w:ascii="Times New Roman" w:hAnsi="Times New Roman"/>
          <w:sz w:val="20"/>
        </w:rPr>
        <w:br/>
        <w:t>• Designed robust data architecture strategies by translating complex business requirements into technical solutions, utilizing star schema data modeling to optimize warehouse performance.</w:t>
        <w:br/>
      </w:r>
    </w:p>
    <w:p>
      <w:r>
        <w:rPr>
          <w:rFonts w:ascii="Times New Roman" w:hAnsi="Times New Roman"/>
          <w:sz w:val="20"/>
        </w:rPr>
        <w:br/>
        <w:t>• Integrated comprehensive data security practices, including IAM role management and encryption protocols, to secure sensitive datasets within GCS and BigQuery environments.</w:t>
        <w:br/>
      </w:r>
    </w:p>
    <w:p>
      <w:r>
        <w:rPr>
          <w:rFonts w:ascii="Times New Roman" w:hAnsi="Times New Roman"/>
          <w:sz w:val="20"/>
        </w:rPr>
        <w:br/>
        <w:t>• Led end-to-end data integration initiatives, bridging silos between relational databases and cloud environments to create a unified source of truth for stakeholder reporting.</w:t>
        <w:br/>
      </w:r>
    </w:p>
    <w:p>
      <w:r>
        <w:rPr>
          <w:rFonts w:ascii="Times New Roman" w:hAnsi="Times New Roman"/>
          <w:sz w:val="20"/>
        </w:rPr>
        <w:br/>
        <w:t>• Implemented data governance frameworks by documenting data lineage and establishing quality control rules, ensuring enterprise-wide adherence to security and regulatory standards.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