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modular ELT workflows using dbt to transform raw data into star schemas, ensuring high-performance, maintainable data models in Snowflake and BigQuery.</w:t>
        <w:br/>
      </w:r>
    </w:p>
    <w:p>
      <w:r>
        <w:rPr>
          <w:rFonts w:ascii="Times New Roman" w:hAnsi="Times New Roman"/>
          <w:sz w:val="20"/>
        </w:rPr>
        <w:br/>
        <w:t>• Led technical requirement gathering and stakeholder workshops for cross-functional teams, applying Agile methodologies to drive project delivery and SDLC compliance.</w:t>
        <w:br/>
      </w:r>
    </w:p>
    <w:p>
      <w:r>
        <w:rPr>
          <w:rFonts w:ascii="Times New Roman" w:hAnsi="Times New Roman"/>
          <w:sz w:val="20"/>
        </w:rPr>
        <w:br/>
        <w:t>• Leveraged experience with Databricks and cloud-native warehousing to profile complex datasets, identifying patterns that inform scalable data architecture.</w:t>
        <w:br/>
      </w:r>
    </w:p>
    <w:p>
      <w:r>
        <w:rPr>
          <w:rFonts w:ascii="Times New Roman" w:hAnsi="Times New Roman"/>
          <w:sz w:val="20"/>
        </w:rPr>
        <w:br/>
        <w:t>• Partnered with business stakeholders to translate complex technical requirements into actionable roadmaps, mirroring the rigorous delivery standards of high-growth consulting environments.</w:t>
        <w:br/>
      </w:r>
    </w:p>
    <w:p>
      <w:r>
        <w:rPr>
          <w:rFonts w:ascii="Times New Roman" w:hAnsi="Times New Roman"/>
          <w:sz w:val="20"/>
        </w:rPr>
        <w:br/>
        <w:t>• Integrated Salesforce CRM data with external marketing datasets to enable 360-degree customer segmentation and campaign ROI analysis.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