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Implemented comprehensive system monitoring and alerting workflows, defining SLOs to track data pipeline health and reduce incident MTTR by 20%.</w:t>
        <w:br/>
      </w:r>
    </w:p>
    <w:p>
      <w:r>
        <w:rPr>
          <w:rFonts w:ascii="Times New Roman" w:hAnsi="Times New Roman"/>
          <w:sz w:val="20"/>
        </w:rPr>
        <w:br/>
        <w:t>• Engineered scalable distributed data architectures using AWS and BigQuery, managing cluster configurations to ensure high availability and data integrity.</w:t>
        <w:br/>
      </w:r>
    </w:p>
    <w:p>
      <w:r>
        <w:rPr>
          <w:rFonts w:ascii="Times New Roman" w:hAnsi="Times New Roman"/>
          <w:sz w:val="20"/>
        </w:rPr>
        <w:br/>
        <w:t>• Automated infrastructure provisioning for development environments using Terraform to standardize CI/CD deployment patterns across the engineering team.</w:t>
        <w:br/>
      </w:r>
    </w:p>
    <w:p>
      <w:r>
        <w:rPr>
          <w:rFonts w:ascii="Times New Roman" w:hAnsi="Times New Roman"/>
          <w:sz w:val="20"/>
        </w:rPr>
        <w:br/>
        <w:t>• Participated in on-call rotations for critical production services, diagnosing system bottlenecks and performing root-cause analysis to eliminate recurring performance regressions.</w:t>
        <w:br/>
      </w:r>
    </w:p>
    <w:p>
      <w:r>
        <w:rPr>
          <w:rFonts w:ascii="Times New Roman" w:hAnsi="Times New Roman"/>
          <w:sz w:val="20"/>
        </w:rPr>
        <w:br/>
        <w:t>• Developed observability dashboards to track system performance and latency metrics, ensuring reliable data delivery for mission-critical financial applications.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