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CRM campaign performance by designing and executing A/B testing frameworks, resulting in data-driven refinements that improved customer engagement metrics.</w:t>
        <w:br/>
      </w:r>
    </w:p>
    <w:p>
      <w:r>
        <w:rPr>
          <w:rFonts w:ascii="Times New Roman" w:hAnsi="Times New Roman"/>
          <w:sz w:val="20"/>
        </w:rPr>
        <w:br/>
        <w:t>• Led customer segmentation initiatives using Salesforce CRM data to personalize marketing communications, directly contributing to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Developed predictive forecasting models to anticipate marketing trends and campaign outcomes, enabling stakeholders to proactively adjust CRM strategies and resource allocation.</w:t>
        <w:br/>
      </w:r>
    </w:p>
    <w:p>
      <w:r>
        <w:rPr>
          <w:rFonts w:ascii="Times New Roman" w:hAnsi="Times New Roman"/>
          <w:sz w:val="20"/>
        </w:rPr>
        <w:br/>
        <w:t>• Leveraged AI-enabled analytics workflows (ChatGPT, Claude) to accelerate data processing and generate actionable insights for cross-functional marketing teams.</w:t>
        <w:br/>
      </w:r>
    </w:p>
    <w:p>
      <w:r>
        <w:rPr>
          <w:rFonts w:ascii="Times New Roman" w:hAnsi="Times New Roman"/>
          <w:sz w:val="20"/>
        </w:rPr>
        <w:br/>
        <w:t>• Conducted rigorous post-campaign measurement and diagnostic analysis to identify data quality issues, ensuring CRM reporting integrity for executive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