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robust T-SQL stored procedures, functions, and views to automate complex data transformations, migrating legacy logic into scalable SQL Server environments.</w:t>
        <w:br/>
      </w:r>
    </w:p>
    <w:p>
      <w:r>
        <w:rPr>
          <w:rFonts w:ascii="Times New Roman" w:hAnsi="Times New Roman"/>
          <w:sz w:val="20"/>
        </w:rPr>
        <w:br/>
        <w:t>• Engineered end-to-end ETL processes using SSIS packages and Python, ensuring high data integrity and accuracy in reporting workflows.</w:t>
        <w:br/>
      </w:r>
    </w:p>
    <w:p>
      <w:r>
        <w:rPr>
          <w:rFonts w:ascii="Times New Roman" w:hAnsi="Times New Roman"/>
          <w:sz w:val="20"/>
        </w:rPr>
        <w:br/>
        <w:t>• Collaborated on cross-functional initiatives involving healthcare claims, enrollment, and provider data, ensuring data compliance and reporting accuracy for operational stakeholders.</w:t>
        <w:br/>
      </w:r>
    </w:p>
    <w:p>
      <w:r>
        <w:rPr>
          <w:rFonts w:ascii="Times New Roman" w:hAnsi="Times New Roman"/>
          <w:sz w:val="20"/>
        </w:rPr>
        <w:br/>
        <w:t>• Optimized SQL Server query performance and reporting workflows, supporting the delivery of critical regulatory and operational analytics.</w:t>
        <w:br/>
      </w:r>
    </w:p>
    <w:p>
      <w:r>
        <w:rPr>
          <w:rFonts w:ascii="Times New Roman" w:hAnsi="Times New Roman"/>
          <w:sz w:val="20"/>
        </w:rPr>
        <w:br/>
        <w:t>• Applied rigorous data validation techniques to healthcare-related datasets, ensuring consistency across disparate systems and improving data reliability for end-users.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