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the semantic layer for client performance reporting, ensuring consistent data definitions and metrics across Power BI dashboards and SQL-based ad-hoc analyses.</w:t>
        <w:br/>
      </w:r>
    </w:p>
    <w:p>
      <w:r>
        <w:rPr>
          <w:rFonts w:ascii="Times New Roman" w:hAnsi="Times New Roman"/>
          <w:sz w:val="20"/>
        </w:rPr>
        <w:br/>
        <w:t>• Performed advanced statistical analysis on loan portfolios using Python (Pandas, Statsmodels) to identify risk patterns, presenting actionable findings to non-technical stakeholders to drive revenue-focused strategy.</w:t>
        <w:br/>
      </w:r>
    </w:p>
    <w:p>
      <w:r>
        <w:rPr>
          <w:rFonts w:ascii="Times New Roman" w:hAnsi="Times New Roman"/>
          <w:sz w:val="20"/>
        </w:rPr>
        <w:br/>
        <w:t>• Collaborated with data engineering teams to enhance end-to-end data pipelines within cloud warehouse environments (Snowflake, BigQuery, and Redshift) to improve data reliability for downstream visualization.</w:t>
        <w:br/>
      </w:r>
    </w:p>
    <w:p>
      <w:r>
        <w:rPr>
          <w:rFonts w:ascii="Times New Roman" w:hAnsi="Times New Roman"/>
          <w:sz w:val="20"/>
        </w:rPr>
        <w:br/>
        <w:t>• Leveraged BI tools to translate complex, multi-step analytical results into compelling data stories, effectively presenting insights to cross-functional partners to inform high-impact business decisions.</w:t>
        <w:br/>
      </w:r>
    </w:p>
    <w:p>
      <w:r>
        <w:rPr>
          <w:rFonts w:ascii="Times New Roman" w:hAnsi="Times New Roman"/>
          <w:sz w:val="20"/>
        </w:rPr>
        <w:br/>
        <w:t>• Proactively identified performance trends and anomalies in full-funnel reporting, utilizing Looker-adjacent modeling techniques to improve measurement accuracy and provide clear business context.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