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Coordinate comprehensive international travel logistics for executives, including complex visa and passport processing, ensuring seamless transitions across global time zones.</w:t>
        <w:br/>
      </w:r>
    </w:p>
    <w:p>
      <w:r>
        <w:rPr>
          <w:rFonts w:ascii="Times New Roman" w:hAnsi="Times New Roman"/>
          <w:sz w:val="20"/>
        </w:rPr>
        <w:br/>
        <w:t>• Partner with internal leadership and People teams to streamline onboarding workflows and support company-wide employee engagement initiatives.</w:t>
        <w:br/>
      </w:r>
    </w:p>
    <w:p>
      <w:r>
        <w:rPr>
          <w:rFonts w:ascii="Times New Roman" w:hAnsi="Times New Roman"/>
          <w:sz w:val="20"/>
        </w:rPr>
        <w:br/>
        <w:t>• Facilitate high-level leadership offsites and strategy meetings by managing end-to-end logistics, from venue selection to agenda development.</w:t>
        <w:br/>
      </w:r>
    </w:p>
    <w:p>
      <w:r>
        <w:rPr>
          <w:rFonts w:ascii="Times New Roman" w:hAnsi="Times New Roman"/>
          <w:sz w:val="20"/>
        </w:rPr>
        <w:br/>
        <w:t>• Support the finance function by managing departmental budget tracking, expense reconciliation, and procurement documentation for executive project expenditures.</w:t>
        <w:br/>
      </w:r>
    </w:p>
    <w:p>
      <w:r>
        <w:rPr>
          <w:rFonts w:ascii="Times New Roman" w:hAnsi="Times New Roman"/>
          <w:sz w:val="20"/>
        </w:rPr>
        <w:br/>
        <w:t>• Leverage experience in fast-paced, high-growth environments to anticipate executive needs, providing proactive operational support that scales with the business.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