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queries and Python-based ETL pipelines to perform data cleansing and normalization, producing audit-ready datasets equivalent to those used in financial due diligence and Quality of Earnings (QoE) analyses.</w:t>
        <w:br/>
      </w:r>
    </w:p>
    <w:p>
      <w:r>
        <w:rPr>
          <w:rFonts w:ascii="Times New Roman" w:hAnsi="Times New Roman"/>
          <w:sz w:val="20"/>
        </w:rPr>
        <w:br/>
        <w:t>• Designed and executed Python-based data models to analyze Net Working Capital (NWC) and cash flow trends, identifying key performance drivers and risk factors in complex datasets.</w:t>
        <w:br/>
      </w:r>
    </w:p>
    <w:p>
      <w:r>
        <w:rPr>
          <w:rFonts w:ascii="Times New Roman" w:hAnsi="Times New Roman"/>
          <w:sz w:val="20"/>
        </w:rPr>
        <w:br/>
        <w:t>• Applied statistical methodologies—utilizing Python libraries (SciPy/StatsModels)—to perform trend analysis on transaction data, mirroring the rigor of M&amp;A modeling and predictive financial forecasting.</w:t>
        <w:br/>
      </w:r>
    </w:p>
    <w:p>
      <w:r>
        <w:rPr>
          <w:rFonts w:ascii="Times New Roman" w:hAnsi="Times New Roman"/>
          <w:sz w:val="20"/>
        </w:rPr>
        <w:br/>
        <w:t>• Leveraged advanced Excel and Power BI to synthesize multi-source data into executive-level financial reporting, facilitating data-driven decision-making for transaction-based business exits and corporate restructuring.</w:t>
        <w:br/>
      </w:r>
    </w:p>
    <w:p>
      <w:r>
        <w:rPr>
          <w:rFonts w:ascii="Times New Roman" w:hAnsi="Times New Roman"/>
          <w:sz w:val="20"/>
        </w:rPr>
        <w:br/>
        <w:t>• Documented data workflows and technical SOPs for cross-functional stakeholders, ensuring consistent data integrity for transaction-level analysis and maintaining a high standard of professional accountability.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