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(using Stored Procedures, CTEs, and window functions) to clean and reconcile complex datasets, improving data accuracy by 30%.</w:t>
        <w:br/>
      </w:r>
    </w:p>
    <w:p>
      <w:r>
        <w:rPr>
          <w:rFonts w:ascii="Times New Roman" w:hAnsi="Times New Roman"/>
          <w:sz w:val="20"/>
        </w:rPr>
        <w:br/>
        <w:t>• Applied rigorous data governance and privacy standards, including HIPAA compliance principles, when managing sensitive client-facing insurance and performance data.</w:t>
        <w:br/>
      </w:r>
    </w:p>
    <w:p>
      <w:r>
        <w:rPr>
          <w:rFonts w:ascii="Times New Roman" w:hAnsi="Times New Roman"/>
          <w:sz w:val="20"/>
        </w:rPr>
        <w:br/>
        <w:t>• Utilized SQL Server Management Studio (SSMS) to perform deep-dive data investigations, resolving discrepancies across multi-source datasets to ensure reporting integrity.</w:t>
        <w:br/>
      </w:r>
    </w:p>
    <w:p>
      <w:r>
        <w:rPr>
          <w:rFonts w:ascii="Times New Roman" w:hAnsi="Times New Roman"/>
          <w:sz w:val="20"/>
        </w:rPr>
        <w:br/>
        <w:t>• Built interactive, user-focused Power BI dashboards featuring drill-through reporting to allow stakeholders to move from high-level trends to granular record-level analysis.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translate complex business requirements into technical specifications, facilitating reporting for diverse stakeholders including high-stakes pharmaceutical manufacturer accounts.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