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cross-functionally with Underwriting and Product teams to perform operational monitoring and error resolution, identifying data discrepancies that improved internal policy compliance and accuracy by 30%.</w:t>
        <w:br/>
      </w:r>
    </w:p>
    <w:p>
      <w:r>
        <w:rPr>
          <w:rFonts w:ascii="Times New Roman" w:hAnsi="Times New Roman"/>
          <w:sz w:val="20"/>
        </w:rPr>
        <w:br/>
        <w:t>• Implemented automated anomaly detection workflows to identify high-risk patterns in loan data, demonstrating proactive harm-fighting and risk-mitigation strategies through data-driven modeling.</w:t>
        <w:br/>
      </w:r>
    </w:p>
    <w:p>
      <w:r>
        <w:rPr>
          <w:rFonts w:ascii="Times New Roman" w:hAnsi="Times New Roman"/>
          <w:sz w:val="20"/>
        </w:rPr>
        <w:br/>
        <w:t>• Facilitated stakeholder calibrations and project documentation to align operational workflows with quality standards, ensuring consistent enforcement quality across project lifecycles.</w:t>
        <w:br/>
      </w:r>
    </w:p>
    <w:p>
      <w:r>
        <w:rPr>
          <w:rFonts w:ascii="Times New Roman" w:hAnsi="Times New Roman"/>
          <w:sz w:val="20"/>
        </w:rPr>
        <w:br/>
        <w:t>• Conducted complex analysis on customer segments and risk profiles, utilizing machine learning-informed segmentation to provide actionable recommendations for strategy optimization.</w:t>
        <w:br/>
      </w:r>
    </w:p>
    <w:p>
      <w:r>
        <w:rPr>
          <w:rFonts w:ascii="Times New Roman" w:hAnsi="Times New Roman"/>
          <w:sz w:val="20"/>
        </w:rPr>
        <w:br/>
        <w:t>• Managed cross-functional escalations and workflow bottlenecks, streamlining project delivery timelines and providing data-backed solutions to improve team operational efficiency.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