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workflows by implementing VBA and PowerQuery for routine reporting, reducing manual data preparation time by 30% and ensuring consistent data delivery across clinical stakeholders.</w:t>
        <w:br/>
      </w:r>
    </w:p>
    <w:p>
      <w:r>
        <w:rPr>
          <w:rFonts w:ascii="Times New Roman" w:hAnsi="Times New Roman"/>
          <w:sz w:val="20"/>
        </w:rPr>
        <w:br/>
        <w:t>• Applied process improvement methodologies (Lean/PDSA principles) to analyze operational workflows, identifying bottlenecks and driving a 25% increase in team efficiency.</w:t>
        <w:br/>
      </w:r>
    </w:p>
    <w:p>
      <w:r>
        <w:rPr>
          <w:rFonts w:ascii="Times New Roman" w:hAnsi="Times New Roman"/>
          <w:sz w:val="20"/>
        </w:rPr>
        <w:br/>
        <w:t>• Conducted time-series analysis on longitudinal datasets to identify performance trends, mirroring quality improvement approaches used in healthcare metrics like control-chart analysis.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disparate data sources—similar to EPIC or EMR environments—into unified schemas to support data-driven decision-making.</w:t>
        <w:br/>
      </w:r>
    </w:p>
    <w:p>
      <w:r>
        <w:rPr>
          <w:rFonts w:ascii="Times New Roman" w:hAnsi="Times New Roman"/>
          <w:sz w:val="20"/>
        </w:rPr>
        <w:br/>
        <w:t>• Managed project lifecycles for complex reporting initiatives, independently identifying task sequences and milestones to ensure 100% on-time delivery of enterprise-level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