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operational budgets and cost allocations by performing variance analysis on monthly service expenses, identifying cost drivers and saving 15% in departmental operational overhead.</w:t>
        <w:br/>
      </w:r>
    </w:p>
    <w:p>
      <w:r>
        <w:rPr>
          <w:rFonts w:ascii="Times New Roman" w:hAnsi="Times New Roman"/>
          <w:sz w:val="20"/>
        </w:rPr>
        <w:br/>
        <w:t>• Collaborated with finance teams to support cost accounting initiatives, translating raw performance data into actionable insights for executive capital planning and resource management.</w:t>
        <w:br/>
      </w:r>
    </w:p>
    <w:p>
      <w:r>
        <w:rPr>
          <w:rFonts w:ascii="Times New Roman" w:hAnsi="Times New Roman"/>
          <w:sz w:val="20"/>
        </w:rPr>
        <w:br/>
        <w:t>• Managed financial data integrity within ERP environments, ensuring accurate reporting of operational KPIs and compliance with organizational financial governance standards.</w:t>
        <w:br/>
      </w:r>
    </w:p>
    <w:p>
      <w:r>
        <w:rPr>
          <w:rFonts w:ascii="Times New Roman" w:hAnsi="Times New Roman"/>
          <w:sz w:val="20"/>
        </w:rPr>
        <w:br/>
        <w:t>• Developed automated financial forecasting models in Excel and Power BI to predict project-based expenditure, enabling proactive budget management and variance reduction.</w:t>
        <w:br/>
      </w:r>
    </w:p>
    <w:p>
      <w:r>
        <w:rPr>
          <w:rFonts w:ascii="Times New Roman" w:hAnsi="Times New Roman"/>
          <w:sz w:val="20"/>
        </w:rPr>
        <w:br/>
        <w:t>• Translated complex healthcare operational metrics into comprehensive financial reports, supporting data-driven decision-making for multi-departmental service line profitability.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