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validation and payment assurance processes, applying SQL and Python automation to audit complex financial datasets similar to those in PeopleSoft and Accounts Payable systems.</w:t>
        <w:br/>
      </w:r>
    </w:p>
    <w:p>
      <w:r>
        <w:rPr>
          <w:rFonts w:ascii="Times New Roman" w:hAnsi="Times New Roman"/>
          <w:sz w:val="20"/>
        </w:rPr>
        <w:br/>
        <w:t>• Managed database reporting workflows to support perioperative services, utilizing Power BI and advanced Excel/Access to streamline requisition and purchase order tracking.</w:t>
        <w:br/>
      </w:r>
    </w:p>
    <w:p>
      <w:r>
        <w:rPr>
          <w:rFonts w:ascii="Times New Roman" w:hAnsi="Times New Roman"/>
          <w:sz w:val="20"/>
        </w:rPr>
        <w:br/>
        <w:t>• Streamlined operations by translating technical requirements into actionable dashboards, providing the data accuracy needed for high-stakes healthcare environment audits and compliance reporting.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integrate data from diverse sources, demonstrating the aptitude to quickly master clinical systems like Epic for reporting and analytical management.</w:t>
        <w:br/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frameworks, ensuring 'single source of truth' metrics that facilitate accurate forecasting for perioperative resource management.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