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integrate disparate data sources using SQL-based ETL logic, similar to SSIS workflow patterns, to support data-driven decision making.</w:t>
        <w:br/>
      </w:r>
    </w:p>
    <w:p>
      <w:r>
        <w:rPr>
          <w:rFonts w:ascii="Times New Roman" w:hAnsi="Times New Roman"/>
          <w:sz w:val="20"/>
        </w:rPr>
        <w:br/>
        <w:t>• Engineered scalable data ingestion processes handling JSON and REST API structures, ensuring robust data quality equivalent to requirements in complex RDBMS and NoSQL environments.</w:t>
        <w:br/>
      </w:r>
    </w:p>
    <w:p>
      <w:r>
        <w:rPr>
          <w:rFonts w:ascii="Times New Roman" w:hAnsi="Times New Roman"/>
          <w:sz w:val="20"/>
        </w:rPr>
        <w:br/>
        <w:t>• Utilized advanced SQL and Python scripting to perform DBA-related tasks, including data validation, index optimization, and schema management for high-availability production databases.</w:t>
        <w:br/>
      </w:r>
    </w:p>
    <w:p>
      <w:r>
        <w:rPr>
          <w:rFonts w:ascii="Times New Roman" w:hAnsi="Times New Roman"/>
          <w:sz w:val="20"/>
        </w:rPr>
        <w:br/>
        <w:t>• Applied rigorous documentation standards for all data pipeline architectures and transformation models, ensuring auditability and compliance for sensitive research-grade data environments.</w:t>
        <w:br/>
      </w:r>
    </w:p>
    <w:p>
      <w:r>
        <w:rPr>
          <w:rFonts w:ascii="Times New Roman" w:hAnsi="Times New Roman"/>
          <w:sz w:val="20"/>
        </w:rPr>
        <w:br/>
        <w:t>• Demonstrated adaptability in clinical-adjacent settings by translating complex research requirements into structured data assets, maintaining high data integrity and security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