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Expertly facilitated seamless virtual, hybrid, and onsite meetings for executive leadership using Microsoft Teams, Zoom, and Google Meet to drive cross-functional collaboration.</w:t>
        <w:br/>
      </w:r>
    </w:p>
    <w:p>
      <w:r>
        <w:rPr>
          <w:rFonts w:ascii="Times New Roman" w:hAnsi="Times New Roman"/>
          <w:sz w:val="20"/>
        </w:rPr>
        <w:br/>
        <w:t>• Drafted and formatted high-impact executive presentations and visual reports using advanced Microsoft PowerPoint features to support C-suite decision-making.</w:t>
        <w:br/>
      </w:r>
    </w:p>
    <w:p>
      <w:r>
        <w:rPr>
          <w:rFonts w:ascii="Times New Roman" w:hAnsi="Times New Roman"/>
          <w:sz w:val="20"/>
        </w:rPr>
        <w:br/>
        <w:t>• Integrated AI-driven scheduling and productivity tools into daily workflows to automate meeting coordination and enhance executive operational efficiency.</w:t>
        <w:br/>
      </w:r>
    </w:p>
    <w:p>
      <w:r>
        <w:rPr>
          <w:rFonts w:ascii="Times New Roman" w:hAnsi="Times New Roman"/>
          <w:sz w:val="20"/>
        </w:rPr>
        <w:br/>
        <w:t>• Managed full-cycle procurement workflows, including purchase order generation and invoice reconciliation, ensuring adherence to corporate financial policies in a complex, matrixed environment.</w:t>
        <w:br/>
      </w:r>
    </w:p>
    <w:p>
      <w:r>
        <w:rPr>
          <w:rFonts w:ascii="Times New Roman" w:hAnsi="Times New Roman"/>
          <w:sz w:val="20"/>
        </w:rPr>
        <w:br/>
        <w:t>• Demonstrated strategic thinking by proactively identifying process bottlenecks and implementing administrative solutions that streamlined operations for a New York-based leadership team.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