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Python backend services and REST APIs to facilitate data exchange between internal platforms and 3P vendors, ensuring reliable data ingestion and retrieval.</w:t>
        <w:br/>
      </w:r>
    </w:p>
    <w:p>
      <w:r>
        <w:rPr>
          <w:rFonts w:ascii="Times New Roman" w:hAnsi="Times New Roman"/>
          <w:sz w:val="20"/>
        </w:rPr>
        <w:br/>
        <w:t>• Implemented comprehensive monitoring and alerting frameworks for production ELT pipelines using Great Expectations and custom Airflow sensors to proactively resolve data quality issues.</w:t>
        <w:br/>
      </w:r>
    </w:p>
    <w:p>
      <w:r>
        <w:rPr>
          <w:rFonts w:ascii="Times New Roman" w:hAnsi="Times New Roman"/>
          <w:sz w:val="20"/>
        </w:rPr>
        <w:br/>
        <w:t>• Managed cloud infrastructure security and resource access by configuring IAM policies and KMS encryption for secure data storage in GCS and AWS S3 environments.</w:t>
        <w:br/>
      </w:r>
    </w:p>
    <w:p>
      <w:r>
        <w:rPr>
          <w:rFonts w:ascii="Times New Roman" w:hAnsi="Times New Roman"/>
          <w:sz w:val="20"/>
        </w:rPr>
        <w:br/>
        <w:t>• Deployed containerized Python applications on ECS/EKS, utilizing CI/CD pipelines via GitHub Actions to automate testing, deployment, and infrastructure scaling.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in a regulated data environment, ensuring strict adherence to data governance standards and security protocols while scaling operational infrastructure.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