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Monitored and assessed individual risk factors, including public protection class data and geo-location of individual risks, and developed reporting to inform corrective actions.</w:t>
        <w:br/>
      </w:r>
    </w:p>
    <w:p>
      <w:r>
        <w:rPr>
          <w:rFonts w:ascii="Times New Roman" w:hAnsi="Times New Roman"/>
          <w:sz w:val="20"/>
        </w:rPr>
        <w:br/>
        <w:t>• Served as a subject matter expert on protection class data, guiding corrective actions to enhance data quality and risk management processes.</w:t>
        <w:br/>
      </w:r>
    </w:p>
    <w:p>
      <w:r>
        <w:rPr>
          <w:rFonts w:ascii="Times New Roman" w:hAnsi="Times New Roman"/>
          <w:sz w:val="20"/>
        </w:rPr>
        <w:br/>
        <w:t>• Analyzed agency policy outcomes (cancellations, rescissions, coverage changes) to identify improvement opportunities and collaborated with Sales teams to drive system enhancements.</w:t>
        <w:br/>
      </w:r>
    </w:p>
    <w:p>
      <w:r>
        <w:rPr>
          <w:rFonts w:ascii="Times New Roman" w:hAnsi="Times New Roman"/>
          <w:sz w:val="20"/>
        </w:rPr>
        <w:br/>
        <w:t>• Developed and implemented data governance frameworks to ensure a consistent 'single source of truth' for business stakeholders, directly supporting accurate underwriting decisions and agency metrics.</w:t>
        <w:br/>
      </w:r>
    </w:p>
    <w:p>
      <w:r>
        <w:rPr>
          <w:rFonts w:ascii="Times New Roman" w:hAnsi="Times New Roman"/>
          <w:sz w:val="20"/>
        </w:rPr>
        <w:br/>
        <w:t>• Led the implementation of data analysis initiatives to improve underwriting accuracy and agency performance, ensuring projects were completed on time and within scope.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