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alignment, resulting in a consistent "single source of truth" for all business stakeholders and a reduction in report discrepancies, contributing to improved understanding of profit and retention metrics.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 and inform product strategy.</w:t>
        <w:br/>
      </w:r>
    </w:p>
    <w:p>
      <w:r>
        <w:rPr>
          <w:rFonts w:ascii="Times New Roman" w:hAnsi="Times New Roman"/>
          <w:sz w:val="20"/>
        </w:rPr>
        <w:br/>
        <w:t>• Integrated multiple datasets from APIs and PostgreSQL warehouses to build structured data, supporting more robust downstream analytics and reporting, with a focus on identifying drivers of performance and enhancing retention.</w:t>
        <w:br/>
      </w:r>
    </w:p>
    <w:p>
      <w:r>
        <w:rPr>
          <w:rFonts w:ascii="Times New Roman" w:hAnsi="Times New Roman"/>
          <w:sz w:val="20"/>
        </w:rPr>
        <w:br/>
        <w:t>• Architected a production-grade ELT pipeline in Python and SQL to ingest time-series economic data into BigQuery, enabling fast reporting and forecasting, demonstrating foundational data pipeline skills relevant to product analysis.</w:t>
        <w:br/>
      </w:r>
    </w:p>
    <w:p>
      <w:r>
        <w:rPr>
          <w:rFonts w:ascii="Times New Roman" w:hAnsi="Times New Roman"/>
          <w:sz w:val="20"/>
        </w:rPr>
        <w:br/>
        <w:t>• Translated complex technical findings into business recommendations during stakeholder meetings to close the gap between raw data and growth strategy, including discussions on customer segmentation and campaign measurement.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