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Managed a JIRA board ticketing system to track and prioritize analytics requests and project workflows, ensuring efficient task management and timely delivery of insights.</w:t>
        <w:br/>
      </w:r>
    </w:p>
    <w:p>
      <w:r>
        <w:rPr>
          <w:rFonts w:ascii="Times New Roman" w:hAnsi="Times New Roman"/>
          <w:sz w:val="20"/>
        </w:rPr>
        <w:br/>
        <w:t>• Leveraged AI tools within Python workflows to automate data quality validation and reporting processes, enhancing efficiency and accuracy in data pipelines.</w:t>
        <w:br/>
      </w:r>
    </w:p>
    <w:p>
      <w:r>
        <w:rPr>
          <w:rFonts w:ascii="Times New Roman" w:hAnsi="Times New Roman"/>
          <w:sz w:val="20"/>
        </w:rPr>
        <w:br/>
        <w:t>• Ingested and processed data using Databricks environments to perform complex data transformations and analysis, supporting robust downstream analytics and reporting.</w:t>
        <w:br/>
      </w:r>
    </w:p>
    <w:p>
      <w:r>
        <w:rPr>
          <w:rFonts w:ascii="Times New Roman" w:hAnsi="Times New Roman"/>
          <w:sz w:val="20"/>
        </w:rPr>
        <w:br/>
        <w:t>• Developed and maintained ETL pipelines using Python, SQL, and Databricks to integrate data from various sources, ensuring data consistency and accuracy for analytical purposes.</w:t>
        <w:br/>
      </w:r>
    </w:p>
    <w:p>
      <w:r>
        <w:rPr>
          <w:rFonts w:ascii="Times New Roman" w:hAnsi="Times New Roman"/>
          <w:sz w:val="20"/>
        </w:rPr>
        <w:br/>
        <w:t>• Translated complex findings from statistical analyses in BigQuery into actionable recommendations, presenting them to stakeholders to drive data-informed strategic decisions.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