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to clean and reconcile insurance testing data, establishing data lineage by documenting source-to-target mappings in Confluence to ensure compliance with data governance standards.</w:t>
        <w:br/>
      </w:r>
    </w:p>
    <w:p>
      <w:r>
        <w:rPr>
          <w:rFonts w:ascii="Times New Roman" w:hAnsi="Times New Roman"/>
          <w:sz w:val="20"/>
        </w:rPr>
        <w:br/>
        <w:t>• Built an end-to-end ETL pipeline to transform raw loan data into analytics-ready tables, incorporating automated data validation rules to enforce data quality standards and security protocols.</w:t>
        <w:br/>
      </w:r>
    </w:p>
    <w:p>
      <w:r>
        <w:rPr>
          <w:rFonts w:ascii="Times New Roman" w:hAnsi="Times New Roman"/>
          <w:sz w:val="20"/>
        </w:rPr>
        <w:br/>
        <w:t>• Conducted regular data profiling and auditing on 2M+ row datasets to detect anomalies, data drift, and root causes of quality issues, ensuring adherence to enterprise data security policies.</w:t>
        <w:br/>
      </w:r>
    </w:p>
    <w:p>
      <w:r>
        <w:rPr>
          <w:rFonts w:ascii="Times New Roman" w:hAnsi="Times New Roman"/>
          <w:sz w:val="20"/>
        </w:rPr>
        <w:br/>
        <w:t>• Developed and maintained data dictionaries and business glossaries in JIRA to provide metadata management and transparency, improving cross-functional understanding of data definitions.</w:t>
        <w:br/>
      </w:r>
    </w:p>
    <w:p>
      <w:r>
        <w:rPr>
          <w:rFonts w:ascii="Times New Roman" w:hAnsi="Times New Roman"/>
          <w:sz w:val="20"/>
        </w:rPr>
        <w:br/>
        <w:t>• Collaborated with IT and business units to implement data governance policies, ensuring that all reporting outputs maintained high-level data consistency and regulatory compliance across Snowflake and BigQuery environments.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