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deployed agentic workflows by integrating LLMs to automate data retrieval, utilizing RAG techniques to optimize data processing and decision-making.</w:t>
        <w:br/>
      </w:r>
    </w:p>
    <w:p>
      <w:r>
        <w:rPr>
          <w:rFonts w:ascii="Times New Roman" w:hAnsi="Times New Roman"/>
          <w:sz w:val="20"/>
        </w:rPr>
        <w:br/>
        <w:t>• Orchestrated containerized application deployments using Docker and Kubernetes, ensuring cloud-native scalability and consistent performance across production environments.</w:t>
        <w:br/>
      </w:r>
    </w:p>
    <w:p>
      <w:r>
        <w:rPr>
          <w:rFonts w:ascii="Times New Roman" w:hAnsi="Times New Roman"/>
          <w:sz w:val="20"/>
        </w:rPr>
        <w:br/>
        <w:t>• Implemented multi-layered guardrails and explainability frameworks within data pipelines to track how agents reach decisions, ensuring transparency and data governance.</w:t>
        <w:br/>
      </w:r>
    </w:p>
    <w:p>
      <w:r>
        <w:rPr>
          <w:rFonts w:ascii="Times New Roman" w:hAnsi="Times New Roman"/>
          <w:sz w:val="20"/>
        </w:rPr>
        <w:br/>
        <w:t>• Mentored junior engineers on defining technical requirements for mission-critical software, successfully managing stakeholder expectations and aligning implementation with project roadmaps.</w:t>
        <w:br/>
      </w:r>
    </w:p>
    <w:p>
      <w:r>
        <w:rPr>
          <w:rFonts w:ascii="Times New Roman" w:hAnsi="Times New Roman"/>
          <w:sz w:val="20"/>
        </w:rPr>
        <w:br/>
        <w:t>• Configured secure data ingestion processes, ensuring system reliability and adherence to strict data security classifications while maintaining architectural consistency.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