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robust ETL pipelines using Apache Airflow, while concurrently exploring orchestration patterns in Prefect to streamline data delivery for downstream AI model consumption.</w:t>
        <w:br/>
      </w:r>
    </w:p>
    <w:p>
      <w:r>
        <w:rPr>
          <w:rFonts w:ascii="Times New Roman" w:hAnsi="Times New Roman"/>
          <w:sz w:val="20"/>
        </w:rPr>
        <w:br/>
        <w:t>• Engineered production-grade data schemas and storage solutions supporting vector databases and semantic search capabilities, ensuring low-latency retrieval for LLM-driven applications.</w:t>
        <w:br/>
      </w:r>
    </w:p>
    <w:p>
      <w:r>
        <w:rPr>
          <w:rFonts w:ascii="Times New Roman" w:hAnsi="Times New Roman"/>
          <w:sz w:val="20"/>
        </w:rPr>
        <w:br/>
        <w:t>• Integrated NoSQL databases into existing data architectures to handle unstructured data, enhancing data versatility and pipeline scalability.</w:t>
        <w:br/>
      </w:r>
    </w:p>
    <w:p>
      <w:r>
        <w:rPr>
          <w:rFonts w:ascii="Times New Roman" w:hAnsi="Times New Roman"/>
          <w:sz w:val="20"/>
        </w:rPr>
        <w:br/>
        <w:t>• Implemented comprehensive data lineage tracking and observability protocols using Great Expectations to ensure high-fidelity data feeds for AI training and inference.</w:t>
        <w:br/>
      </w:r>
    </w:p>
    <w:p>
      <w:r>
        <w:rPr>
          <w:rFonts w:ascii="Times New Roman" w:hAnsi="Times New Roman"/>
          <w:sz w:val="20"/>
        </w:rPr>
        <w:br/>
        <w:t>• Leveraged containerization with Docker and initial Kubernetes workflows to deploy scalable, reproducible infrastructure components for complex data processing tasks.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