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borrower default risk, applying machine learning techniques to validate features and improve classification accuracy for high-risk customer segmentation.</w:t>
        <w:br/>
      </w:r>
    </w:p>
    <w:p>
      <w:r>
        <w:rPr>
          <w:rFonts w:ascii="Times New Roman" w:hAnsi="Times New Roman"/>
          <w:sz w:val="20"/>
        </w:rPr>
        <w:br/>
        <w:t>• Engineered predictive features to identify patterns in loan portfolio data, conducting rigorous experimentation to optimize model performance and reliability.</w:t>
        <w:br/>
      </w:r>
    </w:p>
    <w:p>
      <w:r>
        <w:rPr>
          <w:rFonts w:ascii="Times New Roman" w:hAnsi="Times New Roman"/>
          <w:sz w:val="20"/>
        </w:rPr>
        <w:br/>
        <w:t>• Integrated automated data pipelines with monitoring protocols to ensure production-level stability and accuracy for real-time financial decision-making.</w:t>
        <w:br/>
      </w:r>
    </w:p>
    <w:p>
      <w:r>
        <w:rPr>
          <w:rFonts w:ascii="Times New Roman" w:hAnsi="Times New Roman"/>
          <w:sz w:val="20"/>
        </w:rPr>
        <w:br/>
        <w:t>• Applied statistical methods to evaluate fraud-related trends within large datasets, translating findings into actionable strategies for risk mitigation.</w:t>
        <w:br/>
      </w:r>
    </w:p>
    <w:p>
      <w:r>
        <w:rPr>
          <w:rFonts w:ascii="Times New Roman" w:hAnsi="Times New Roman"/>
          <w:sz w:val="20"/>
        </w:rPr>
        <w:br/>
        <w:t>• Transitioned research prototypes into productionalized code for loan risk analysis, ensuring scalability and maintainability within a cloud-based PostgreSQL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