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high-volume loan portfolio data to identify anomalous patterns, performing feature engineering to improve the predictive accuracy of default risk models.</w:t>
        <w:br/>
      </w:r>
    </w:p>
    <w:p>
      <w:r>
        <w:rPr>
          <w:rFonts w:ascii="Times New Roman" w:hAnsi="Times New Roman"/>
          <w:sz w:val="20"/>
        </w:rPr>
        <w:br/>
        <w:t>• Investigated complex loan datasets, labeling high-risk borrower segments and translating these findings into actionable data pipelines that directly informed model behavior updates.</w:t>
        <w:br/>
      </w:r>
    </w:p>
    <w:p>
      <w:r>
        <w:rPr>
          <w:rFonts w:ascii="Times New Roman" w:hAnsi="Times New Roman"/>
          <w:sz w:val="20"/>
        </w:rPr>
        <w:br/>
        <w:t>• Quantified emerging fraud patterns within lending datasets by calculating loss avoided and identifying key attack vectors, translating findings into technical documentation for stakeholders.</w:t>
        <w:br/>
      </w:r>
    </w:p>
    <w:p>
      <w:r>
        <w:rPr>
          <w:rFonts w:ascii="Times New Roman" w:hAnsi="Times New Roman"/>
          <w:sz w:val="20"/>
        </w:rPr>
        <w:br/>
        <w:t>• Acted as a bridge between technical analysis and business decisions, producing clear written narratives on project impact that enabled GTM teams to refine customer acquisition strategies.</w:t>
        <w:br/>
      </w:r>
    </w:p>
    <w:p>
      <w:r>
        <w:rPr>
          <w:rFonts w:ascii="Times New Roman" w:hAnsi="Times New Roman"/>
          <w:sz w:val="20"/>
        </w:rPr>
        <w:br/>
        <w:t>• Collaborated in a high-ambiguity environment to reconcile disparate insurance data sources, ensuring high-quality inputs for production models and supporting cross-functional solutions.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