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security and operations teams to monitor and analyze data movement, gaining exposure to data loss prevention (DLP) principles while scrubbing sensitive information from upstream source systems.</w:t>
        <w:br/>
      </w:r>
    </w:p>
    <w:p>
      <w:r>
        <w:rPr>
          <w:rFonts w:ascii="Times New Roman" w:hAnsi="Times New Roman"/>
          <w:sz w:val="20"/>
        </w:rPr>
        <w:br/>
        <w:t>• Utilized advanced SQL and Python to identify anomalous patterns in system logs, effectively contributing to data security reporting and the proactive identification of potential security risks.</w:t>
        <w:br/>
      </w:r>
    </w:p>
    <w:p>
      <w:r>
        <w:rPr>
          <w:rFonts w:ascii="Times New Roman" w:hAnsi="Times New Roman"/>
          <w:sz w:val="20"/>
        </w:rPr>
        <w:br/>
        <w:t>• Partnered with cross-functional stakeholders to define key risk indicators (KRIs) and performance metrics (KPIs), ensuring robust reporting accuracy for enterprise-level information protection programs.</w:t>
        <w:br/>
      </w:r>
    </w:p>
    <w:p>
      <w:r>
        <w:rPr>
          <w:rFonts w:ascii="Times New Roman" w:hAnsi="Times New Roman"/>
          <w:sz w:val="20"/>
        </w:rPr>
        <w:br/>
        <w:t>• Streamlined data ingestion into central warehouses by implementing validation scripts that mirror standard security compliance workflows, including audit-readiness and data access integrity.</w:t>
        <w:br/>
      </w:r>
    </w:p>
    <w:p>
      <w:r>
        <w:rPr>
          <w:rFonts w:ascii="Times New Roman" w:hAnsi="Times New Roman"/>
          <w:sz w:val="20"/>
        </w:rPr>
        <w:br/>
        <w:t>• Applied data modeling techniques to categorize and protect enterprise data, ensuring that reporting structures were aligned with security best practices and organizational governance requirements.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