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 &amp; Data Engineering: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 (advanced queries, window functions, CTEs), Python (Pandas, NumPy, ETL pipelines, automation, pytest, Apache Airflow, R, JavaScript, Git, GitHub Actions (CI/CD)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 &amp; Data Infrastructure: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Google Cloud Platform (BigQuery, GCS), Snowflake, AWS, Docker, Postgres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Data modeling &amp; transformation: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Dimensional modeling (star schema, fact &amp; dimension tables), dbt (models, tests, documentation), ELT pipeline design, data quality validation (Great Expectations)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Tableau, Excel (Pivot Tables, VLOOKUP, Macros), Power BI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Microsoft/Google Office Suite, Google Analytics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30.76703548431396" w:lineRule="auto"/>
        <w:ind w:left="720" w:right="49.85107421875" w:firstLine="0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Analytics &amp; Operations Lead</w:t>
        <w:tab/>
        <w:t xml:space="preserve">        March 2024 - April 2026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business intelligence reporting system in Excel to track revenue, expenses, and operational KPIs, identifying inefficiencies that drove a 40% improvement in operational efficiency.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recurring business operations and reporting workflows using workflow automation tools, reducing manual tasks by 30% and freeing team capacity for higher-value work.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Tracked and analyzed content performance across the  company website and social media platforms (Instagram, Facebook/Meta), using analytics to identify engagement trends and brand performance to inform marketing strategy.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Monitored marketing campaign metrics and identified performance patterns to guide strategic decisions, increasing leads by 40%.</w:t>
      </w:r>
    </w:p>
    <w:p w:rsidR="00000000" w:rsidDel="00000000" w:rsidP="00000000" w:rsidRDefault="00000000" w:rsidRPr="00000000" w14:paraId="0000001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</w:t>
        <w:tab/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Cardo" w:cs="Cardo" w:eastAsia="Cardo" w:hAnsi="Cardo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January 2023 - September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stakeholders to align software features with business processes and objectives, reducing product delivery delays by 25%.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Worked closely with engineers, product managers, and business stakeholders to translate user feedback into production code, driving a 15% increase in feature adoption.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Extracted and transformed data from REST APIs and relational databases building structured, clean datasets that directly supported front-end feature development and reduced UI bugs.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SQL queries to validate and synchronize data across systems, improving data accuracy by 60%.</w:t>
      </w:r>
    </w:p>
    <w:p w:rsidR="00000000" w:rsidDel="00000000" w:rsidP="00000000" w:rsidRDefault="00000000" w:rsidRPr="00000000" w14:paraId="0000001C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1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September 2025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To provide insights into 2021 New York City arrest trends to support crime prevention strategy development.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analyzed 100,000+ NYC arrest records using Python (Pandas, NumPy), identifying patterns across boroughs, demographics, and offense categories to produce actionable insights for crime prevention strategy.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enabling self-service analysis for non-technical stakeholders, visualizing 2021 NYC arrest trends by time, location, and demographics.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Presented findings through a slide deck and report, delivering insights and recommendations to support strategic policy decisions.</w:t>
      </w:r>
    </w:p>
    <w:p w:rsidR="00000000" w:rsidDel="00000000" w:rsidP="00000000" w:rsidRDefault="00000000" w:rsidRPr="00000000" w14:paraId="00000024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April 2026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Built a production-grade ELT pipeline ingesting Federal Reserve economic data (GDP, CPI, Fed rate, S&amp;P 500) from the FRED API into Google BigQuery using Python, Airflow, dbt, and GCS.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 reducing analyst query time via BigQuery partitioning and clustering.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and deployed a CI/CD pipeline via GitHub Actions.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Power BI dashboard correlating Fed rate decisions, inflation, and S&amp;P 500 performance across 5 years of FRED data.</w:t>
      </w:r>
    </w:p>
    <w:p w:rsidR="00000000" w:rsidDel="00000000" w:rsidP="00000000" w:rsidRDefault="00000000" w:rsidRPr="00000000" w14:paraId="0000002B">
      <w:pPr>
        <w:widowControl w:val="0"/>
        <w:spacing w:line="230.76703548431396" w:lineRule="auto"/>
        <w:ind w:right="49.8510742187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D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August 2025 - December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229.88847255706787" w:lineRule="auto"/>
        <w:ind w:left="0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December 2022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Established L1/L2 incident management workflows for internal tools, ensuring compliance with established SLAs and timely escalation paths for high-priority defects.</w:t>
        <w:br/>
      </w:r>
    </w:p>
    <w:p>
      <w:r>
        <w:rPr>
          <w:rFonts w:ascii="Times New Roman" w:hAnsi="Times New Roman"/>
          <w:sz w:val="20"/>
        </w:rPr>
        <w:br/>
        <w:t>• Performed root cause analysis on technical incidents, documenting findings in Confluence to prevent recurrence and improve overall system reliability.</w:t>
        <w:br/>
      </w:r>
    </w:p>
    <w:p>
      <w:r>
        <w:rPr>
          <w:rFonts w:ascii="Times New Roman" w:hAnsi="Times New Roman"/>
          <w:sz w:val="20"/>
        </w:rPr>
        <w:br/>
        <w:t>• Managed the support backlog and service desk operations, prioritizing user-reported issues based on business impact and technical severity.</w:t>
        <w:br/>
      </w:r>
    </w:p>
    <w:p>
      <w:r>
        <w:rPr>
          <w:rFonts w:ascii="Times New Roman" w:hAnsi="Times New Roman"/>
          <w:sz w:val="20"/>
        </w:rPr>
        <w:br/>
        <w:t>• Implemented operational governance for client onboarding and system configurations, ensuring consistent service delivery and standardized environment management.</w:t>
        <w:br/>
      </w:r>
    </w:p>
    <w:p>
      <w:r>
        <w:rPr>
          <w:rFonts w:ascii="Times New Roman" w:hAnsi="Times New Roman"/>
          <w:sz w:val="20"/>
        </w:rPr>
        <w:br/>
        <w:t>• Monitored system health and tracked SLA performance metrics, providing stakeholders with regular reports on incident trends and resolution effectiveness.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nypd-arrests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