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Manage high-level executive calendars across multiple time zones, resolving scheduling conflicts and proactively coordinating meetings with global stakeholders.</w:t>
        <w:br/>
      </w:r>
    </w:p>
    <w:p>
      <w:r>
        <w:rPr>
          <w:rFonts w:ascii="Times New Roman" w:hAnsi="Times New Roman"/>
          <w:sz w:val="20"/>
        </w:rPr>
        <w:br/>
        <w:t>• Draft and edit executive-level presentations, reports, and correspondence, ensuring high-quality communication and alignment with leadership objectives.</w:t>
        <w:br/>
      </w:r>
    </w:p>
    <w:p>
      <w:r>
        <w:rPr>
          <w:rFonts w:ascii="Times New Roman" w:hAnsi="Times New Roman"/>
          <w:sz w:val="20"/>
        </w:rPr>
        <w:br/>
        <w:t>• Provide comprehensive support during leadership meetings, including developing agendas, documenting precise minutes, and tracking action items to ensure organizational follow-through.</w:t>
        <w:br/>
      </w:r>
    </w:p>
    <w:p>
      <w:r>
        <w:rPr>
          <w:rFonts w:ascii="Times New Roman" w:hAnsi="Times New Roman"/>
          <w:sz w:val="20"/>
        </w:rPr>
        <w:br/>
        <w:t>• Collaborate across global, cross-functional teams to align initiatives, demonstrating extreme discretion and sound judgment when handling sensitive, confidential executive information.</w:t>
        <w:br/>
      </w:r>
    </w:p>
    <w:p>
      <w:r>
        <w:rPr>
          <w:rFonts w:ascii="Times New Roman" w:hAnsi="Times New Roman"/>
          <w:sz w:val="20"/>
        </w:rPr>
        <w:br/>
        <w:t>• Serve as a trusted partner to executive leadership by anticipating needs and managing complex logistics for international projects, ensuring seamless operations in a fast-paced global environment.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