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cross-functional stakeholders including product leadership and technical decision-makers to design scalable data analytical frameworks, ensuring alignment with enterprise-level business objectives.</w:t>
        <w:br/>
      </w:r>
    </w:p>
    <w:p>
      <w:r>
        <w:rPr>
          <w:rFonts w:ascii="Times New Roman" w:hAnsi="Times New Roman"/>
          <w:sz w:val="20"/>
        </w:rPr>
        <w:br/>
        <w:t>• Led technical pre-sales initiatives by orchestrating end-to-end POCs and building custom data prototypes to demonstrate clear commercial impact and value proposition to enterprise stakeholders.</w:t>
        <w:br/>
      </w:r>
    </w:p>
    <w:p>
      <w:r>
        <w:rPr>
          <w:rFonts w:ascii="Times New Roman" w:hAnsi="Times New Roman"/>
          <w:sz w:val="20"/>
        </w:rPr>
        <w:br/>
        <w:t>• Engineered and integrated ETL pipelines connecting API and cloud-based data sources, advising on refresh cadence and optimized consumption patterns within modern data warehouses like Snowflake and BigQuery.</w:t>
        <w:br/>
      </w:r>
    </w:p>
    <w:p>
      <w:r>
        <w:rPr>
          <w:rFonts w:ascii="Times New Roman" w:hAnsi="Times New Roman"/>
          <w:sz w:val="20"/>
        </w:rPr>
        <w:br/>
        <w:t>• Partnered with Sales and R&amp;D teams to identify high-value industry use-cases, transforming complex requirements into actionable technical briefs and long-term data strategy roadmaps.</w:t>
        <w:br/>
      </w:r>
    </w:p>
    <w:p>
      <w:r>
        <w:rPr>
          <w:rFonts w:ascii="Times New Roman" w:hAnsi="Times New Roman"/>
          <w:sz w:val="20"/>
        </w:rPr>
        <w:br/>
        <w:t>• Defined and implemented data integration strategies for diverse clients, effectively managing risks, technical dependencies, and production deployments in complex, high-stakes environments.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