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data pipelines using Python and SQL while gaining functional exposure to PySpark libraries for processing large-scale datasets, mirroring the logic used in enterprise distributed computing.</w:t>
        <w:br/>
      </w:r>
    </w:p>
    <w:p>
      <w:r>
        <w:rPr>
          <w:rFonts w:ascii="Times New Roman" w:hAnsi="Times New Roman"/>
          <w:sz w:val="20"/>
        </w:rPr>
        <w:br/>
        <w:t>• Managed cloud data assets within AWS (S3/Redshift) environments, executing data extraction and storage workflows to support scalable analytics infrastructure.</w:t>
        <w:br/>
      </w:r>
    </w:p>
    <w:p>
      <w:r>
        <w:rPr>
          <w:rFonts w:ascii="Times New Roman" w:hAnsi="Times New Roman"/>
          <w:sz w:val="20"/>
        </w:rPr>
        <w:br/>
        <w:t>• Collaborated directly with stakeholders to translate complex business requirements into custom, client-facing dashboard solutions, ensuring high-impact delivery of strategic insights.</w:t>
        <w:br/>
      </w:r>
    </w:p>
    <w:p>
      <w:r>
        <w:rPr>
          <w:rFonts w:ascii="Times New Roman" w:hAnsi="Times New Roman"/>
          <w:sz w:val="20"/>
        </w:rPr>
        <w:br/>
        <w:t>• Leveraged advanced Python scripting to automate data-heavy reporting, reducing manual effort and preparing data for integration into larger cloud-based data ecosystems.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