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end-to-end data pipelines using Airbyte for ingestion and dbt for transformations, ensuring high-quality, reliable data flow into BigQuery.</w:t>
        <w:br/>
      </w:r>
    </w:p>
    <w:p>
      <w:r>
        <w:rPr>
          <w:rFonts w:ascii="Times New Roman" w:hAnsi="Times New Roman"/>
          <w:sz w:val="20"/>
        </w:rPr>
        <w:br/>
        <w:t>• Engineered reverse ETL syncs using tools similar to Hightouch to push actionable metrics directly into business-facing platforms for operational efficiency.</w:t>
        <w:br/>
      </w:r>
    </w:p>
    <w:p>
      <w:r>
        <w:rPr>
          <w:rFonts w:ascii="Times New Roman" w:hAnsi="Times New Roman"/>
          <w:sz w:val="20"/>
        </w:rPr>
        <w:br/>
        <w:t>• Built and optimized interactive dashboards in Looker Studio and Power BI, tailoring visualization layers to meet specific stakeholder requirements and drive self-service analytics.</w:t>
        <w:br/>
      </w:r>
    </w:p>
    <w:p>
      <w:r>
        <w:rPr>
          <w:rFonts w:ascii="Times New Roman" w:hAnsi="Times New Roman"/>
          <w:sz w:val="20"/>
        </w:rPr>
        <w:br/>
        <w:t>• Collaborated with product engineering to define event-driven instrumentation requirements, ensuring captured data aligns with product feature tracking and business logic.</w:t>
        <w:br/>
      </w:r>
    </w:p>
    <w:p>
      <w:r>
        <w:rPr>
          <w:rFonts w:ascii="Times New Roman" w:hAnsi="Times New Roman"/>
          <w:sz w:val="20"/>
        </w:rPr>
        <w:br/>
        <w:t>• Implemented cost-optimization strategies for BigQuery by monitoring query performance and partition usage, reducing total warehouse spend by 15%.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