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on cross-functional initiatives to ensure data governance and high data quality standards, implementing validation checks that reduced reporting errors by 30%.</w:t>
        <w:br/>
      </w:r>
    </w:p>
    <w:p>
      <w:r>
        <w:rPr>
          <w:rFonts w:ascii="Times New Roman" w:hAnsi="Times New Roman"/>
          <w:sz w:val="20"/>
        </w:rPr>
        <w:br/>
        <w:t>• Developed automated regulatory reporting workflows using Python and SQL, streamlining compliance documentation and ensuring consistent, audit-ready data delivery.</w:t>
        <w:br/>
      </w:r>
    </w:p>
    <w:p>
      <w:r>
        <w:rPr>
          <w:rFonts w:ascii="Times New Roman" w:hAnsi="Times New Roman"/>
          <w:sz w:val="20"/>
        </w:rPr>
        <w:br/>
        <w:t>• Performed extensive data mapping and metadata management to reconcile insurance testing data from disparate sources, improving schema reliability and lineage documentation.</w:t>
        <w:br/>
      </w:r>
    </w:p>
    <w:p>
      <w:r>
        <w:rPr>
          <w:rFonts w:ascii="Times New Roman" w:hAnsi="Times New Roman"/>
          <w:sz w:val="20"/>
        </w:rPr>
        <w:br/>
        <w:t>• Utilized UNIX-based command-line tools to execute and schedule ETL pipelines, ensuring seamless data ingestion and system stability for downstream analytics.</w:t>
        <w:br/>
      </w:r>
    </w:p>
    <w:p>
      <w:r>
        <w:rPr>
          <w:rFonts w:ascii="Times New Roman" w:hAnsi="Times New Roman"/>
          <w:sz w:val="20"/>
        </w:rPr>
        <w:br/>
        <w:t>• Analyzed complex datasets to identify patterns indicative of risk, supporting AML-focused initiatives by translating technical findings into actionable insights for compliance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