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enforced comprehensive data governance and quality validation frameworks using Great Expectations, ensuring full compliance with data integrity policies and regulatory standards.</w:t>
        <w:br/>
      </w:r>
    </w:p>
    <w:p>
      <w:r>
        <w:rPr>
          <w:rFonts w:ascii="Times New Roman" w:hAnsi="Times New Roman"/>
          <w:sz w:val="20"/>
        </w:rPr>
        <w:br/>
        <w:t>• Integrated Quality Engineering (QE) best practices into the CI/CD pipeline, implementing automated data validation and testing protocols to guarantee end-to-end system reliability.</w:t>
        <w:br/>
      </w:r>
    </w:p>
    <w:p>
      <w:r>
        <w:rPr>
          <w:rFonts w:ascii="Times New Roman" w:hAnsi="Times New Roman"/>
          <w:sz w:val="20"/>
        </w:rPr>
        <w:br/>
        <w:t>• Led technical data initiatives by aligning cross-functional data pipelines with business-wide objectives, influencing architectural decisions that impacted regional reporting accuracy.</w:t>
        <w:br/>
      </w:r>
    </w:p>
    <w:p>
      <w:r>
        <w:rPr>
          <w:rFonts w:ascii="Times New Roman" w:hAnsi="Times New Roman"/>
          <w:sz w:val="20"/>
        </w:rPr>
        <w:br/>
        <w:t>• Collaborated with QE teams to design and document standardized testing strategies, successfully reducing data transformation errors across multi-environment integration workflows.</w:t>
        <w:br/>
      </w:r>
    </w:p>
    <w:p>
      <w:r>
        <w:rPr>
          <w:rFonts w:ascii="Times New Roman" w:hAnsi="Times New Roman"/>
          <w:sz w:val="20"/>
        </w:rPr>
        <w:br/>
        <w:t>• Engineered robust ETL/ELT processes while adhering to strict regulatory requirements and data standardization policies to ensure seamless system interoperability.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